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Contrato Marco de Servicios</w:t>
      </w:r>
    </w:p>
    <w:p>
      <w:r>
        <w:t xml:space="preserve">El presente Contrato Marco de Servicios (el «Contrato») se celebra el [fecha] entre [razón social de la empresa], con domicilio en [domicilio] (la «Empresa»), y [nombre o razón social del consultor], con domicilio en [domicilio] (el «Consultor»).</w:t>
      </w:r>
    </w:p>
    <w:p>
      <w:pPr>
        <w:pStyle w:val="Heading2"/>
      </w:pPr>
      <w:r>
        <w:t xml:space="preserve">1. Servicios</w:t>
      </w:r>
    </w:p>
    <w:p>
      <w:r>
        <w:t xml:space="preserve">El Consultor prestará los servicios descritos en cada orden de trabajo (una «Orden») firmada por ambas partes. Toda Orden se rige por este Contrato. Si una Orden contradice este Contrato, prevalece el Contrato, salvo que la Orden indique qué cláusula modifica.</w:t>
      </w:r>
    </w:p>
    <w:p>
      <w:pPr>
        <w:pStyle w:val="Heading2"/>
      </w:pPr>
      <w:r>
        <w:t xml:space="preserve">2. Contratista independiente</w:t>
      </w:r>
    </w:p>
    <w:p>
      <w:r>
        <w:t xml:space="preserve">El Consultor es un contratista independiente y no un empleado, socio ni representante de la Empresa, y es responsable de sus propios impuestos, seguros y equipos. El Consultor puede trabajar para otros clientes, siempre que ese trabajo no incumpla la cláusula 4.</w:t>
      </w:r>
    </w:p>
    <w:p>
      <w:pPr>
        <w:pStyle w:val="Heading2"/>
      </w:pPr>
      <w:r>
        <w:t xml:space="preserve">3. Honorarios y pago</w:t>
      </w:r>
    </w:p>
    <w:p>
      <w:r>
        <w:t xml:space="preserve">Los honorarios se fijan en cada Orden. Son fijos y no dependen de las horas trabajadas. Los honorarios mensuales se facturan al comienzo de cada mes, y los honorarios por proyecto según indique la Orden. Las facturas vencen a los 14 días, en [moneda] mediante [medio de pago]. Los honorarios [no incluyen] los impuestos sobre la operación que correspondan. Si la ley obliga a la Empresa a retener impuestos de un pago, [la Empresa aumenta el pago para que el Consultor reciba el honorario completo / el honorario se paga neto de la retención], y la Empresa entrega el certificado de retención. Cada parte paga sus propios gastos bancarios y de transferencia. Si una factura tiene más de 14 días de atraso, el Consultor puede suspender los servicios hasta que se pague.</w:t>
      </w:r>
    </w:p>
    <w:p>
      <w:pPr>
        <w:pStyle w:val="Heading2"/>
      </w:pPr>
      <w:r>
        <w:t xml:space="preserve">4. Confidencialidad</w:t>
      </w:r>
    </w:p>
    <w:p>
      <w:r>
        <w:t xml:space="preserve">Cada parte mantendrá en reserva la información confidencial de la otra y la usará solo para cumplir este Contrato. Esto no alcanza a la información que sea pública, que la parte receptora ya conociera o desarrollara por su cuenta, o que la ley la obligue a revelar. Esta obligación se mantiene durante [tres] años después de terminado el Contrato.</w:t>
      </w:r>
    </w:p>
    <w:p>
      <w:pPr>
        <w:pStyle w:val="Heading2"/>
      </w:pPr>
      <w:r>
        <w:t xml:space="preserve">5. Propiedad intelectual</w:t>
      </w:r>
    </w:p>
    <w:p>
      <w:r>
        <w:t xml:space="preserve">Todo lo que el Consultor cree para la Empresa en el marco de este Contrato pertenece a la Empresa desde el momento de su creación, y el Consultor le cede todos los derechos sobre ello. Las herramientas, métodos y conocimientos que el Consultor tenía antes de este Contrato, o que desarrolle fuera de él, siguen siendo del Consultor (los «Materiales Preexistentes»). Cuando un trabajo para la Empresa incluya Materiales Preexistentes, la Empresa recibe una licencia mundial, perpetua, gratuita y no exclusiva para usarlos, copiarlos, modificarlos, distribuirlos y sublicenciarlos como parte de ese trabajo, incluso a través de sus contratistas y clientes.</w:t>
      </w:r>
    </w:p>
    <w:p>
      <w:pPr>
        <w:pStyle w:val="Heading2"/>
      </w:pPr>
      <w:r>
        <w:t xml:space="preserve">6. Limitación de responsabilidad</w:t>
      </w:r>
    </w:p>
    <w:p>
      <w:r>
        <w:t xml:space="preserve">Ninguna de las partes responde por daños indirectos, incidentales o consecuentes, incluido el lucro cesante. La responsabilidad total de cada parte bajo este Contrato se limita a los honorarios que la Empresa pagó en los tres meses anteriores al reclamo. Estos límites no se aplican a los honorarios adeudados por servicios, a los reembolsos que correspondan según este Contrato, ni en caso de fraude o dolo.</w:t>
      </w:r>
    </w:p>
    <w:p>
      <w:pPr>
        <w:pStyle w:val="Heading2"/>
      </w:pPr>
      <w:r>
        <w:t xml:space="preserve">7. Plazo y terminación</w:t>
      </w:r>
    </w:p>
    <w:p>
      <w:r>
        <w:t xml:space="preserve">Este Contrato sigue vigente hasta que una de las partes le ponga fin. Cualquiera de las partes puede terminar este Contrato o cualquier Orden con dos semanas de preaviso por escrito, y un email alcanza. La Empresa paga los servicios hasta el final del preaviso, y el Consultor devuelve, en proporción, lo cobrado por el tiempo posterior. Las cláusulas 4, 5, 6 y 8 siguen vigentes después de terminado el Contrato.</w:t>
      </w:r>
    </w:p>
    <w:p>
      <w:pPr>
        <w:pStyle w:val="Heading2"/>
      </w:pPr>
      <w:r>
        <w:t xml:space="preserve">8. Ley aplicable y controversias</w:t>
      </w:r>
    </w:p>
    <w:p>
      <w:r>
        <w:t xml:space="preserve">Este Contrato se rige por las leyes de [estado o país]. Antes de iniciar acciones formales, las partes dedicarán [30] días a intentar resolver cualquier controversia hablando directamente. La controversia que subsista se resolverá [ante los tribunales de [ciudad, país]] o [mediante arbitraje según el [reglamento de arbitraje], con sede en [ciudad], en idioma [idioma]]. Elegir una opción y borrar la otra.</w:t>
      </w:r>
    </w:p>
    <w:p>
      <w:pPr>
        <w:pStyle w:val="Heading2"/>
      </w:pPr>
      <w:r>
        <w:t xml:space="preserve">9. Disposiciones generales</w:t>
      </w:r>
    </w:p>
    <w:p>
      <w:r>
        <w:t xml:space="preserve">Este Contrato y sus Órdenes constituyen el acuerdo completo entre las partes sobre este tema. Cualquier cambio debe hacerse por escrito y estar firmado por ambas partes, y la firma electrónica es válida. Ninguna de las partes puede ceder este Contrato sin el consentimiento escrito de la otra, salvo a un sucesor por fusión o venta de su negocio.</w:t>
      </w:r>
    </w:p>
    <w:p>
      <w:pPr>
        <w:pStyle w:val="Heading2"/>
      </w:pPr>
      <w:r>
        <w:t xml:space="preserve">Firmas</w:t>
      </w:r>
    </w:p>
    <w:p>
      <w:r>
        <w:t xml:space="preserve">Por la Empresa: [nombre], [cargo]</w:t>
      </w:r>
    </w:p>
    <w:p>
      <w:r>
        <w:t xml:space="preserve">Firma y fecha: ____________________</w:t>
      </w:r>
    </w:p>
    <w:p>
      <w:r>
        <w:t xml:space="preserve">El Consultor: [nombre]</w:t>
      </w:r>
    </w:p>
    <w:p>
      <w:r>
        <w:t xml:space="preserve">Firma y fecha: ____________________</w:t>
      </w:r>
    </w:p>
    <w:p>
      <w:pPr>
        <w:pStyle w:val="Footer"/>
      </w:pPr>
      <w:r>
        <w:t xml:space="preserve">Plantilla de Ezequiel Actis Grosso, CTO fraccional: https://ctofraccional.com/plantilla-contrato-cto-fraccional. Libre para usar y adaptar. No es asesoramiento legal.</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lang w:val="es-AR"/>
      </w:rPr>
    </w:rPrDefault>
    <w:pPrDefault>
      <w:pPr>
        <w:spacing w:after="160" w:line="276" w:lineRule="auto"/>
      </w:pPr>
    </w:pPrDefault>
  </w:docDefaults>
  <w:style w:type="paragraph" w:default="1" w:styleId="Normal">
    <w:name w:val="Normal"/>
  </w:style>
  <w:style w:type="paragraph" w:styleId="Title">
    <w:name w:val="Title"/>
    <w:basedOn w:val="Normal"/>
    <w:pPr>
      <w:spacing w:after="320"/>
    </w:pPr>
    <w:rPr>
      <w:b/>
      <w:sz w:val="36"/>
    </w:rPr>
  </w:style>
  <w:style w:type="paragraph" w:styleId="Heading2">
    <w:name w:val="heading 2"/>
    <w:basedOn w:val="Normal"/>
    <w:pPr>
      <w:keepNext/>
      <w:spacing w:before="280" w:after="120"/>
      <w:outlineLvl w:val="1"/>
    </w:pPr>
    <w:rPr>
      <w:b/>
      <w:sz w:val="24"/>
    </w:rPr>
  </w:style>
  <w:style w:type="paragraph" w:styleId="ListParagraph">
    <w:name w:val="List Paragraph"/>
    <w:basedOn w:val="Normal"/>
    <w:pPr>
      <w:spacing w:after="80"/>
      <w:ind w:left="720" w:hanging="360"/>
    </w:pPr>
  </w:style>
  <w:style w:type="paragraph" w:styleId="Footer">
    <w:name w:val="Footer Note"/>
    <w:basedOn w:val="Normal"/>
    <w:pPr>
      <w:spacing w:before="480"/>
    </w:pPr>
    <w:rPr>
      <w:color w:val="6B7280"/>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Contrato Marco de Servicios</dc:title>
  <dc:creator>Ezequiel Actis Grosso</dc:creator>
  <dc:language>es-AR</dc:language>
</cp:coreProperties>
</file>